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AE" w:rsidRPr="00837919" w:rsidRDefault="00CE7CAE" w:rsidP="00CE7CAE">
      <w:pPr>
        <w:spacing w:after="240" w:line="276" w:lineRule="auto"/>
        <w:ind w:right="51"/>
        <w:jc w:val="center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b/>
          <w:color w:val="000000"/>
          <w:spacing w:val="-1"/>
          <w:sz w:val="20"/>
        </w:rPr>
        <w:t>Примерная стоимость работ по подтверждению соответствия, выполняемых органом по сертификации, и методика расчёта стоимости услуг по подтверждению соответствия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b/>
          <w:color w:val="000000"/>
          <w:spacing w:val="-1"/>
          <w:sz w:val="20"/>
        </w:rPr>
        <w:t>1. Область применения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1.1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взрывозащищенного и рудничного оборудования Общества с ограниченной ответственностью </w:t>
      </w:r>
      <w:r w:rsidR="002D53AB">
        <w:rPr>
          <w:rFonts w:ascii="Times New Roman" w:hAnsi="Times New Roman" w:cs="Times New Roman"/>
          <w:color w:val="000000"/>
          <w:spacing w:val="-1"/>
          <w:sz w:val="20"/>
        </w:rPr>
        <w:t>«</w:t>
      </w:r>
      <w:r w:rsidR="007441DF">
        <w:rPr>
          <w:rFonts w:ascii="Times New Roman" w:hAnsi="Times New Roman" w:cs="Times New Roman"/>
          <w:color w:val="000000"/>
          <w:spacing w:val="-1"/>
          <w:sz w:val="20"/>
        </w:rPr>
        <w:t>СЕРКОНС</w:t>
      </w:r>
      <w:r w:rsidR="002D53AB">
        <w:rPr>
          <w:rFonts w:ascii="Times New Roman" w:hAnsi="Times New Roman" w:cs="Times New Roman"/>
          <w:color w:val="000000"/>
          <w:spacing w:val="-1"/>
          <w:sz w:val="20"/>
        </w:rPr>
        <w:t>» (далее – ОС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, орган по сертификации), устанавливает правила и порядок расчета стоимости работ по подтверждению соответствия продукции, а именно: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 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-стоимости работ по инспекционному контролю</w:t>
      </w:r>
    </w:p>
    <w:p w:rsidR="00CE7CAE" w:rsidRPr="00841B70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841B70">
        <w:rPr>
          <w:rFonts w:ascii="Times New Roman" w:hAnsi="Times New Roman" w:cs="Times New Roman"/>
          <w:b/>
          <w:color w:val="000000"/>
          <w:spacing w:val="-1"/>
          <w:sz w:val="20"/>
        </w:rPr>
        <w:t>2. Общие положения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2.1 В соответствии с Методикой определяется размер платы за оказание услуг по подтверждению соответствия, осуществляемых в формах: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обязательной сертификации.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2.2 Определение размера платы за оказание услуг (выполнение работ) по подтверждению соответствия продукции осуществляется исходя из следующих принципов: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 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 уровень рентабельности работ по подтверждению соответствия продукции может устанавливаться от 30 до 100 %;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-стоимость работ по инспекционному контролю за сертифицированной продукцией не должна превышать 70 % от стоимости сертификации продукции.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2.3 Конкретный состав работ, выполняемых органом по сертификации при обязательной сертификации и подлежащих оплате, зависит от установленной формы и схемы обязательного подтверждения соответствия.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2.4 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определяется органом по сертификации самостоятельно, исходя из установленных в нем условий оплаты труда работников.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2.5 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2.6 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</w:t>
      </w:r>
    </w:p>
    <w:p w:rsidR="00CE7CAE" w:rsidRPr="00841B70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841B70">
        <w:rPr>
          <w:rFonts w:ascii="Times New Roman" w:hAnsi="Times New Roman" w:cs="Times New Roman"/>
          <w:b/>
          <w:color w:val="000000"/>
          <w:spacing w:val="-1"/>
          <w:sz w:val="20"/>
        </w:rPr>
        <w:t>3. Расчет стоимости работ по сертификации продукции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Стоимость работ по сертификации продукции включает в себя: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 стоимость работ органа по сертификации;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-стоимость работ испытательной лаборатории (далее по тексту ‒ ИЛ).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В общем случае суммарная стоимость сертификации (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Сс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) конкретной продукции определяется по формуле: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Сс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= 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Сос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+ Сип + Ср, где: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Сос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 – стоимость работ, проводимых ОС, руб.;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Сип – стоимость испытаний продукции в ИЛ, руб.;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lastRenderedPageBreak/>
        <w:t xml:space="preserve">Ср              –          расходы               на           </w:t>
      </w:r>
      <w:proofErr w:type="gram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упаковку,   </w:t>
      </w:r>
      <w:proofErr w:type="gram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          хранение,            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погрузочно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Стоимость работ, проводимых органом по сертификации, определяется по формуле: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Сос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= 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tос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х Т х (1 + (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Кнз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 + </w:t>
      </w: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Ккр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)/100) х (1 + Р/100), где: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tос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 – трудоемкость выполненных работ (чел.-дней);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 – дневная ставка эксперта (руб.);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proofErr w:type="gram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Кнз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  –</w:t>
      </w:r>
      <w:proofErr w:type="gram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  коэффициент,  учитывающий  норматив  начислений  на  заработную  плату, установленный действующим законодательством (%);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proofErr w:type="spellStart"/>
      <w:r w:rsidRPr="00837919">
        <w:rPr>
          <w:rFonts w:ascii="Times New Roman" w:hAnsi="Times New Roman" w:cs="Times New Roman"/>
          <w:color w:val="000000"/>
          <w:spacing w:val="-1"/>
          <w:sz w:val="20"/>
        </w:rPr>
        <w:t>Ккр</w:t>
      </w:r>
      <w:proofErr w:type="spellEnd"/>
      <w:r w:rsidRPr="00837919">
        <w:rPr>
          <w:rFonts w:ascii="Times New Roman" w:hAnsi="Times New Roman" w:cs="Times New Roman"/>
          <w:color w:val="000000"/>
          <w:spacing w:val="-1"/>
          <w:sz w:val="20"/>
        </w:rPr>
        <w:t> – коэффициент, учитывающий косвенные расходы (%);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Р – уровень рентабельности (%).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Предельные нормативы трудоемкости и состав работ, выполняемых ОС, приведены в Таблице 1.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</w:t>
      </w:r>
    </w:p>
    <w:p w:rsidR="00CE7CAE" w:rsidRPr="00837919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Таблица 1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 - 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Трудоемкость работ органа по сертификации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704"/>
        <w:gridCol w:w="3685"/>
        <w:gridCol w:w="4956"/>
      </w:tblGrid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№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п/п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Наименование работы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Трудоемкость (чел.-дней)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Принятие решения по заявке на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сертификацию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2,0 до 3,0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1.1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Прием и регистрация заявки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0,2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1.2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Рассмотрение документов,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приложенных к заявке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1,0-1,5-2,0 (в зависимости от группы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сложности продукции, Таблица 4)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1.3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Подготовка решения по заявке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0,8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Выполнение процедур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сертификации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2.1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Отбор и идентификация образцов для проведения сертификационных испытаний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1,0 ‒при условии отбора образцов в одном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месте. При отборе образцов в нескольких местах трудоемкость увеличивается прямо пропорционально количеству мест отбора образцов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2.2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Анализ протоколов испытаний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 соответствии с Таблицей 2 (от 0,2 до 3,0)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2.3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Анализ состояния производства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 соответствии с Таблицами 3, 4, 5 (от 3 до 12)</w:t>
            </w:r>
          </w:p>
        </w:tc>
      </w:tr>
      <w:tr w:rsidR="00CE7CAE" w:rsidRPr="00837919" w:rsidTr="00321F29">
        <w:tc>
          <w:tcPr>
            <w:tcW w:w="70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2.4</w:t>
            </w:r>
          </w:p>
        </w:tc>
        <w:tc>
          <w:tcPr>
            <w:tcW w:w="3690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Оценка соответствия продукции</w:t>
            </w: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установленным требованиям и подготовка решения о возможности выдачи сертификата соответствия</w:t>
            </w:r>
          </w:p>
        </w:tc>
        <w:tc>
          <w:tcPr>
            <w:tcW w:w="496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  <w:p w:rsidR="00CE7CAE" w:rsidRPr="00837919" w:rsidRDefault="00CE7CAE" w:rsidP="00321F29">
            <w:pPr>
              <w:spacing w:line="276" w:lineRule="auto"/>
              <w:ind w:right="51" w:firstLine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2,0</w:t>
            </w:r>
          </w:p>
        </w:tc>
      </w:tr>
    </w:tbl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 </w:t>
      </w:r>
    </w:p>
    <w:p w:rsidR="00CE7CAE" w:rsidRPr="00837919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Таблица 2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 - 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Трудоемкость анализа протоколов испытаний, проводимого органом по сертификации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5"/>
        <w:gridCol w:w="3825"/>
      </w:tblGrid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Число требований, установленных нормативными документами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Трудоемкость (чел.-дней)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 5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0,2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6 до 10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0,5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11 до 20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1,0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21 до 50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1,1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51 до 80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1,2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81 до 120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1,5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121 до 150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1,8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151 до 200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2,2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201 до 250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2,5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251 до 300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2,7</w:t>
            </w:r>
          </w:p>
        </w:tc>
      </w:tr>
      <w:tr w:rsidR="00CE7CAE" w:rsidRPr="00837919" w:rsidTr="00321F29">
        <w:trPr>
          <w:jc w:val="center"/>
        </w:trPr>
        <w:tc>
          <w:tcPr>
            <w:tcW w:w="397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свыше 300</w:t>
            </w:r>
          </w:p>
        </w:tc>
        <w:tc>
          <w:tcPr>
            <w:tcW w:w="382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3,0</w:t>
            </w:r>
          </w:p>
        </w:tc>
      </w:tr>
    </w:tbl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 </w:t>
      </w:r>
    </w:p>
    <w:p w:rsidR="00CE7CAE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</w:p>
    <w:p w:rsidR="00CE7CAE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</w:p>
    <w:p w:rsidR="00CE7CAE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</w:p>
    <w:p w:rsidR="00CE7CAE" w:rsidRPr="00837919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lastRenderedPageBreak/>
        <w:t>Таблица 3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 - 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Группы сложности производства</w:t>
      </w:r>
    </w:p>
    <w:tbl>
      <w:tblPr>
        <w:tblStyle w:val="a3"/>
        <w:tblW w:w="0" w:type="dxa"/>
        <w:jc w:val="center"/>
        <w:tblLook w:val="04A0" w:firstRow="1" w:lastRow="0" w:firstColumn="1" w:lastColumn="0" w:noHBand="0" w:noVBand="1"/>
      </w:tblPr>
      <w:tblGrid>
        <w:gridCol w:w="3255"/>
        <w:gridCol w:w="3555"/>
      </w:tblGrid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Группа сложности производства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Среднее число технологических операций при производстве продукции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1 до 3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4 до 10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3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11 до 20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4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21 до 50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5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51 до 200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6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201 до 2000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7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 2001 до 5000</w:t>
            </w:r>
          </w:p>
        </w:tc>
      </w:tr>
      <w:tr w:rsidR="00CE7CAE" w:rsidRPr="00837919" w:rsidTr="00321F29">
        <w:trPr>
          <w:jc w:val="center"/>
        </w:trPr>
        <w:tc>
          <w:tcPr>
            <w:tcW w:w="32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8</w:t>
            </w:r>
          </w:p>
        </w:tc>
        <w:tc>
          <w:tcPr>
            <w:tcW w:w="355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свыше 5000</w:t>
            </w:r>
          </w:p>
        </w:tc>
      </w:tr>
    </w:tbl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 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 </w:t>
      </w:r>
    </w:p>
    <w:p w:rsidR="00CE7CAE" w:rsidRPr="00837919" w:rsidRDefault="00CE7CAE" w:rsidP="00CE7CAE">
      <w:pPr>
        <w:spacing w:after="0" w:line="276" w:lineRule="auto"/>
        <w:ind w:right="51"/>
        <w:jc w:val="center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Таблица 5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 - 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Трудоемкость работ, проводимых органом по сертификации при анализе состояния производства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435"/>
      </w:tblGrid>
      <w:tr w:rsidR="00CE7CAE" w:rsidRPr="00837919" w:rsidTr="00321F29">
        <w:trPr>
          <w:jc w:val="center"/>
        </w:trPr>
        <w:tc>
          <w:tcPr>
            <w:tcW w:w="2835" w:type="dxa"/>
            <w:vMerge w:val="restart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Группа сложности производства</w:t>
            </w:r>
          </w:p>
        </w:tc>
        <w:tc>
          <w:tcPr>
            <w:tcW w:w="3435" w:type="dxa"/>
            <w:vAlign w:val="center"/>
            <w:hideMark/>
          </w:tcPr>
          <w:p w:rsidR="00CE7CAE" w:rsidRPr="00837919" w:rsidRDefault="00CE7CAE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Трудоемкость (чел.-дней), не свыше</w:t>
            </w:r>
          </w:p>
        </w:tc>
      </w:tr>
      <w:tr w:rsidR="002D53AB" w:rsidRPr="00837919" w:rsidTr="00E50FA4">
        <w:trPr>
          <w:trHeight w:val="539"/>
          <w:jc w:val="center"/>
        </w:trPr>
        <w:tc>
          <w:tcPr>
            <w:tcW w:w="0" w:type="auto"/>
            <w:vMerge/>
            <w:vAlign w:val="center"/>
            <w:hideMark/>
          </w:tcPr>
          <w:p w:rsidR="002D53AB" w:rsidRPr="00837919" w:rsidRDefault="002D53AB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321F29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группа сложности продукции</w:t>
            </w:r>
          </w:p>
        </w:tc>
      </w:tr>
      <w:tr w:rsidR="002D53AB" w:rsidRPr="00837919" w:rsidTr="00AB2B0A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3</w:t>
            </w:r>
          </w:p>
        </w:tc>
      </w:tr>
      <w:tr w:rsidR="002D53AB" w:rsidRPr="00837919" w:rsidTr="00D11B13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2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4</w:t>
            </w:r>
          </w:p>
        </w:tc>
      </w:tr>
      <w:tr w:rsidR="002D53AB" w:rsidRPr="00837919" w:rsidTr="005F7091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3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5</w:t>
            </w:r>
          </w:p>
        </w:tc>
      </w:tr>
      <w:tr w:rsidR="002D53AB" w:rsidRPr="00837919" w:rsidTr="00005C2F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4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6</w:t>
            </w:r>
          </w:p>
        </w:tc>
      </w:tr>
      <w:tr w:rsidR="002D53AB" w:rsidRPr="00837919" w:rsidTr="001F2FFC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5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9</w:t>
            </w:r>
          </w:p>
        </w:tc>
      </w:tr>
      <w:tr w:rsidR="002D53AB" w:rsidRPr="00837919" w:rsidTr="00303205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6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10</w:t>
            </w:r>
          </w:p>
        </w:tc>
      </w:tr>
      <w:tr w:rsidR="002D53AB" w:rsidRPr="00837919" w:rsidTr="000540B5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7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11</w:t>
            </w:r>
          </w:p>
        </w:tc>
      </w:tr>
      <w:tr w:rsidR="002D53AB" w:rsidRPr="00837919" w:rsidTr="008C67DF">
        <w:trPr>
          <w:jc w:val="center"/>
        </w:trPr>
        <w:tc>
          <w:tcPr>
            <w:tcW w:w="28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8</w:t>
            </w:r>
          </w:p>
        </w:tc>
        <w:tc>
          <w:tcPr>
            <w:tcW w:w="3435" w:type="dxa"/>
            <w:vAlign w:val="center"/>
            <w:hideMark/>
          </w:tcPr>
          <w:p w:rsidR="002D53AB" w:rsidRPr="00837919" w:rsidRDefault="002D53AB" w:rsidP="002D53AB">
            <w:pPr>
              <w:spacing w:line="276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837919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12</w:t>
            </w:r>
          </w:p>
        </w:tc>
      </w:tr>
    </w:tbl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> 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color w:val="000000"/>
          <w:spacing w:val="-1"/>
          <w:sz w:val="20"/>
        </w:rP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</w:t>
      </w:r>
      <w:r w:rsidRPr="00837919">
        <w:rPr>
          <w:rFonts w:ascii="Times New Roman" w:hAnsi="Times New Roman" w:cs="Times New Roman"/>
          <w:sz w:val="20"/>
        </w:rPr>
        <w:t>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Стоимость испытаний продукции (Сип) калькулируются ИЛ на основе самостоятельно установленных нормативов материальных и трудовых затрат, доводится до сведения ОС.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 4 Расчет стоимости работ по инспекционному контролю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Стоимость работ по инспекционному контролю включает: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-       стоимость работ органа по сертификации при инспекционном контроле;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 xml:space="preserve">-       стоимость работ </w:t>
      </w:r>
      <w:r w:rsidRPr="00837919">
        <w:rPr>
          <w:rFonts w:ascii="Times New Roman" w:hAnsi="Times New Roman" w:cs="Times New Roman"/>
          <w:color w:val="000000"/>
          <w:spacing w:val="-1"/>
          <w:sz w:val="20"/>
        </w:rPr>
        <w:t>испытательной</w:t>
      </w:r>
      <w:r w:rsidRPr="00837919">
        <w:rPr>
          <w:rFonts w:ascii="Times New Roman" w:hAnsi="Times New Roman" w:cs="Times New Roman"/>
          <w:sz w:val="20"/>
        </w:rPr>
        <w:t xml:space="preserve"> лаборатории при инспекционном контроле.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В общем случае суммарная стоимость работ при инспекционном контроле определяется по формуле: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где: </w:t>
      </w:r>
      <w:proofErr w:type="spellStart"/>
      <w:r w:rsidRPr="00837919">
        <w:rPr>
          <w:rFonts w:ascii="Times New Roman" w:hAnsi="Times New Roman" w:cs="Times New Roman"/>
          <w:sz w:val="20"/>
        </w:rPr>
        <w:t>Сик</w:t>
      </w:r>
      <w:proofErr w:type="spellEnd"/>
      <w:r w:rsidRPr="00837919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837919">
        <w:rPr>
          <w:rFonts w:ascii="Times New Roman" w:hAnsi="Times New Roman" w:cs="Times New Roman"/>
          <w:sz w:val="20"/>
        </w:rPr>
        <w:t>Сосик</w:t>
      </w:r>
      <w:proofErr w:type="spellEnd"/>
      <w:r w:rsidRPr="00837919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837919">
        <w:rPr>
          <w:rFonts w:ascii="Times New Roman" w:hAnsi="Times New Roman" w:cs="Times New Roman"/>
          <w:sz w:val="20"/>
        </w:rPr>
        <w:t>Сипик</w:t>
      </w:r>
      <w:proofErr w:type="spellEnd"/>
      <w:r w:rsidRPr="00837919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837919">
        <w:rPr>
          <w:rFonts w:ascii="Times New Roman" w:hAnsi="Times New Roman" w:cs="Times New Roman"/>
          <w:sz w:val="20"/>
        </w:rPr>
        <w:t>Срик</w:t>
      </w:r>
      <w:proofErr w:type="spellEnd"/>
      <w:r w:rsidRPr="00837919">
        <w:rPr>
          <w:rFonts w:ascii="Times New Roman" w:hAnsi="Times New Roman" w:cs="Times New Roman"/>
          <w:sz w:val="20"/>
        </w:rPr>
        <w:t>,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837919">
        <w:rPr>
          <w:rFonts w:ascii="Times New Roman" w:hAnsi="Times New Roman" w:cs="Times New Roman"/>
          <w:sz w:val="20"/>
        </w:rPr>
        <w:t>Сосик</w:t>
      </w:r>
      <w:proofErr w:type="spellEnd"/>
      <w:r w:rsidRPr="00837919">
        <w:rPr>
          <w:rFonts w:ascii="Times New Roman" w:hAnsi="Times New Roman" w:cs="Times New Roman"/>
          <w:sz w:val="20"/>
        </w:rPr>
        <w:t xml:space="preserve"> – стоимость работ, проводимых ОС (расчет по аналогии с </w:t>
      </w:r>
      <w:proofErr w:type="spellStart"/>
      <w:r w:rsidRPr="00837919">
        <w:rPr>
          <w:rFonts w:ascii="Times New Roman" w:hAnsi="Times New Roman" w:cs="Times New Roman"/>
          <w:sz w:val="20"/>
        </w:rPr>
        <w:t>Сос</w:t>
      </w:r>
      <w:proofErr w:type="spellEnd"/>
      <w:r w:rsidRPr="00837919">
        <w:rPr>
          <w:rFonts w:ascii="Times New Roman" w:hAnsi="Times New Roman" w:cs="Times New Roman"/>
          <w:sz w:val="20"/>
        </w:rPr>
        <w:t>), руб.;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837919">
        <w:rPr>
          <w:rFonts w:ascii="Times New Roman" w:hAnsi="Times New Roman" w:cs="Times New Roman"/>
          <w:sz w:val="20"/>
        </w:rPr>
        <w:t>Сипик</w:t>
      </w:r>
      <w:proofErr w:type="spellEnd"/>
      <w:r w:rsidRPr="00837919">
        <w:rPr>
          <w:rFonts w:ascii="Times New Roman" w:hAnsi="Times New Roman" w:cs="Times New Roman"/>
          <w:sz w:val="20"/>
        </w:rPr>
        <w:t> – стоимость работ испытательной лаборатории, руб.;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837919">
        <w:rPr>
          <w:rFonts w:ascii="Times New Roman" w:hAnsi="Times New Roman" w:cs="Times New Roman"/>
          <w:sz w:val="20"/>
        </w:rPr>
        <w:t>Срик</w:t>
      </w:r>
      <w:proofErr w:type="spellEnd"/>
      <w:r w:rsidRPr="00837919">
        <w:rPr>
          <w:rFonts w:ascii="Times New Roman" w:hAnsi="Times New Roman" w:cs="Times New Roman"/>
          <w:sz w:val="20"/>
        </w:rPr>
        <w:t> 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</w:t>
      </w:r>
    </w:p>
    <w:p w:rsidR="00CE7CAE" w:rsidRPr="00837919" w:rsidRDefault="00CE7CAE" w:rsidP="00CE7CAE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</w:t>
      </w:r>
      <w:bookmarkStart w:id="0" w:name="_GoBack"/>
      <w:bookmarkEnd w:id="0"/>
      <w:r w:rsidRPr="00837919">
        <w:rPr>
          <w:rFonts w:ascii="Times New Roman" w:hAnsi="Times New Roman" w:cs="Times New Roman"/>
          <w:sz w:val="20"/>
        </w:rPr>
        <w:t>Оплата при этом производится посредством дополнительного соглашения к договору об оказании услуг.</w:t>
      </w:r>
    </w:p>
    <w:p w:rsidR="00CE7CAE" w:rsidRDefault="00CE7CAE" w:rsidP="00CE7CAE">
      <w:pPr>
        <w:spacing w:after="100" w:afterAutospacing="1" w:line="240" w:lineRule="auto"/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lastRenderedPageBreak/>
        <w:t> </w:t>
      </w:r>
    </w:p>
    <w:p w:rsidR="00CE7CAE" w:rsidRDefault="00CE7CAE" w:rsidP="003424B6">
      <w:pPr>
        <w:spacing w:after="100" w:afterAutospacing="1" w:line="240" w:lineRule="auto"/>
        <w:rPr>
          <w:rFonts w:ascii="Times New Roman" w:hAnsi="Times New Roman" w:cs="Times New Roman"/>
          <w:sz w:val="20"/>
        </w:rPr>
      </w:pPr>
      <w:r w:rsidRPr="00837919">
        <w:rPr>
          <w:rFonts w:ascii="Times New Roman" w:hAnsi="Times New Roman" w:cs="Times New Roman"/>
          <w:sz w:val="20"/>
        </w:rPr>
        <w:t>Примерная стоимость работ по сертификации продукции – от 70 000 рублей.</w:t>
      </w:r>
    </w:p>
    <w:p w:rsidR="00EF4717" w:rsidRPr="00EF4717" w:rsidRDefault="00EF4717" w:rsidP="00EF4717">
      <w:pPr>
        <w:spacing w:after="100" w:afterAutospacing="1" w:line="240" w:lineRule="auto"/>
        <w:rPr>
          <w:rFonts w:ascii="Times New Roman" w:hAnsi="Times New Roman" w:cs="Times New Roman"/>
          <w:sz w:val="20"/>
        </w:rPr>
      </w:pPr>
      <w:r w:rsidRPr="00EF4717">
        <w:rPr>
          <w:rFonts w:ascii="Times New Roman" w:hAnsi="Times New Roman" w:cs="Times New Roman"/>
          <w:sz w:val="20"/>
        </w:rPr>
        <w:t xml:space="preserve">Примерная стоимость работ по проведению инспекционного </w:t>
      </w:r>
      <w:r w:rsidRPr="00EF4717">
        <w:rPr>
          <w:rFonts w:ascii="Times New Roman" w:hAnsi="Times New Roman" w:cs="Times New Roman"/>
          <w:sz w:val="20"/>
        </w:rPr>
        <w:t>контроля –</w:t>
      </w:r>
      <w:r w:rsidRPr="00EF4717">
        <w:rPr>
          <w:rFonts w:ascii="Times New Roman" w:hAnsi="Times New Roman" w:cs="Times New Roman"/>
          <w:sz w:val="20"/>
        </w:rPr>
        <w:t xml:space="preserve"> от 40 000 рублей.</w:t>
      </w:r>
    </w:p>
    <w:p w:rsidR="00CE7CAE" w:rsidRPr="00837919" w:rsidRDefault="00CE7CAE" w:rsidP="00CE7CAE">
      <w:pPr>
        <w:spacing w:after="100" w:afterAutospacing="1" w:line="240" w:lineRule="auto"/>
        <w:rPr>
          <w:rFonts w:ascii="Times New Roman" w:hAnsi="Times New Roman" w:cs="Times New Roman"/>
          <w:sz w:val="20"/>
        </w:rPr>
      </w:pPr>
    </w:p>
    <w:p w:rsidR="00734C05" w:rsidRDefault="00EF4717"/>
    <w:sectPr w:rsidR="0073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3"/>
    <w:rsid w:val="00193423"/>
    <w:rsid w:val="002D53AB"/>
    <w:rsid w:val="003424B6"/>
    <w:rsid w:val="003E6BAF"/>
    <w:rsid w:val="007441DF"/>
    <w:rsid w:val="00BC6A42"/>
    <w:rsid w:val="00CE7CAE"/>
    <w:rsid w:val="00E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FDD"/>
  <w15:chartTrackingRefBased/>
  <w15:docId w15:val="{0556C202-13F4-4D45-8444-B8F05D5D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Квитко Ольга Евгеньевна</cp:lastModifiedBy>
  <cp:revision>7</cp:revision>
  <dcterms:created xsi:type="dcterms:W3CDTF">2021-09-15T08:10:00Z</dcterms:created>
  <dcterms:modified xsi:type="dcterms:W3CDTF">2022-02-09T07:49:00Z</dcterms:modified>
</cp:coreProperties>
</file>